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06419699" w:rsidR="00A70556" w:rsidRDefault="004408CB" w:rsidP="0034573D">
            <w:pPr>
              <w:spacing w:after="0" w:line="276" w:lineRule="auto"/>
            </w:pPr>
            <w:r>
              <w:t>Educación para Jóvenes y Adultos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4408CB" w14:paraId="1D014C1E" w14:textId="77777777" w:rsidTr="008638C9">
        <w:trPr>
          <w:trHeight w:val="340"/>
        </w:trPr>
        <w:tc>
          <w:tcPr>
            <w:tcW w:w="4712" w:type="dxa"/>
            <w:gridSpan w:val="2"/>
          </w:tcPr>
          <w:p w14:paraId="404D8B68" w14:textId="3D66C124" w:rsidR="004408CB" w:rsidRPr="004B0FA0" w:rsidRDefault="004408CB" w:rsidP="004408CB">
            <w:pPr>
              <w:spacing w:after="0" w:line="276" w:lineRule="auto"/>
              <w:jc w:val="center"/>
              <w:rPr>
                <w:b/>
                <w:bCs/>
              </w:rPr>
            </w:pPr>
            <w:r w:rsidRPr="006C09D6">
              <w:t>01/01/2025</w:t>
            </w:r>
          </w:p>
        </w:tc>
        <w:tc>
          <w:tcPr>
            <w:tcW w:w="5206" w:type="dxa"/>
            <w:gridSpan w:val="2"/>
          </w:tcPr>
          <w:p w14:paraId="79E9E4F4" w14:textId="2A0C521A" w:rsidR="004408CB" w:rsidRPr="00A70556" w:rsidRDefault="004408CB" w:rsidP="004408CB">
            <w:pPr>
              <w:spacing w:after="0" w:line="276" w:lineRule="auto"/>
              <w:jc w:val="center"/>
              <w:rPr>
                <w:b/>
                <w:bCs/>
              </w:rPr>
            </w:pPr>
            <w:r w:rsidRPr="006C09D6">
              <w:t xml:space="preserve">01/07/2025 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4408CB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30A25E01" w:rsidR="009F4211" w:rsidRPr="004408CB" w:rsidRDefault="004408CB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4408CB">
              <w:t>Lic. José Luis Alvarado Medrano, Jefe del Depto. de Planeación y Seguimiento Operativo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42E2A716" w:rsidR="00B920F2" w:rsidRDefault="004408CB" w:rsidP="00521401">
      <w:pPr>
        <w:pStyle w:val="Prrafodelista"/>
        <w:spacing w:after="0" w:line="276" w:lineRule="auto"/>
        <w:ind w:left="142"/>
        <w:jc w:val="both"/>
      </w:pPr>
      <w:r w:rsidRPr="004408CB">
        <w:t>Contribuir a la mejora del funcionamiento, gestión y organización del Pp E061 Educación para jóvenes y Adultos, mediante la realización de un análisis y valoración del diseño, los procesos, subprocesos y macro procesos, así como de su operación, fin de generar información que permita orientar su gestión a la consecución de resultados de manera eficaz y eficiente.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D551B9A" w14:textId="77777777" w:rsidR="004408CB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principales elementos del diseño del Pp partiendo del análisis del tipo de intervención seleccionado para el logro de sus objetivos.</w:t>
      </w:r>
    </w:p>
    <w:p w14:paraId="35109D9D" w14:textId="77777777" w:rsidR="004408CB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si la ejecución de los procesos y subprocesos y, en su caso, macroprocesos que integran la gestión operativa del Pp en sus distintos niveles es adecuada para el logro de sus objetivos;</w:t>
      </w:r>
    </w:p>
    <w:p w14:paraId="597B727D" w14:textId="77777777" w:rsidR="004408CB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en qué medida los procesos y subprocesos y, en su caso, macroprocesos operativos del Pp son eficaces, oportunos, suficientes y pertinentes para el logro de sus objetivos;</w:t>
      </w:r>
    </w:p>
    <w:p w14:paraId="6FE4192C" w14:textId="77777777" w:rsidR="004408CB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analizar y valorar los problemas o limitantes, tanto normativos como operativos que hubiese en la operación del Pp;</w:t>
      </w:r>
    </w:p>
    <w:p w14:paraId="1CA69F2D" w14:textId="77777777" w:rsidR="004408CB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analizar y valorar las buenas prácticas o las fortalezas en la operación del Pp;</w:t>
      </w:r>
    </w:p>
    <w:p w14:paraId="3F35544B" w14:textId="77777777" w:rsidR="004408CB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si la estructura organizacional para la operación del Pp es la adecuada de acuerdo con sus objetivos;</w:t>
      </w:r>
    </w:p>
    <w:p w14:paraId="2CCD5C65" w14:textId="7BEF9E01" w:rsidR="009B7088" w:rsidRDefault="004408CB" w:rsidP="004408C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Formular recomendaciones específicas y concretas derivadas de las áreas de mejora identificadas, que permitan mejorar la gestión para resultados del Pp a través de la mejora en la ejecución de sus procesos y subprocesos y, en su caso macroprocesos.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7999DBFC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4408CB">
        <w:t>Específica (de proceso con diseño)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04C7C182" w:rsidR="00581B4A" w:rsidRPr="00581B4A" w:rsidRDefault="004408CB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Específica (de proceso con diseño)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lastRenderedPageBreak/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7590B407" w:rsidR="00113BCD" w:rsidRDefault="004408CB" w:rsidP="004408CB">
      <w:pPr>
        <w:ind w:left="142"/>
        <w:jc w:val="both"/>
      </w:pPr>
      <w:r>
        <w:t>El objetivo general del Pp es b</w:t>
      </w:r>
      <w:r w:rsidRPr="004408CB">
        <w:t>rindar servicios educativos de alfabetización, primaria y secundaria para personas de 15 años o más, para contribuir a la atención del rezago educativo, apoyándose en la participación social con enfoque de derechos humanos.</w:t>
      </w:r>
    </w:p>
    <w:p w14:paraId="4BF0113E" w14:textId="12983D02" w:rsidR="004408CB" w:rsidRPr="002F6A18" w:rsidRDefault="004408CB" w:rsidP="004408CB">
      <w:pPr>
        <w:ind w:left="142"/>
        <w:jc w:val="both"/>
      </w:pPr>
      <w:r w:rsidRPr="004408CB">
        <w:t>De acuerdo a su Decreto de Creación el ISEJA tiene por objeto prestar los servicios de educación básica en el Estado de Sinaloa, la cual comprende la alfabetización, la educación primaria y la secundaria, con los contenidos particulares para atender las necesidades educativas específicas del sector de la población de 15 años o más y se apoyará en la solidaridad social. De esta manera, el ISEJA brinda la oportunidad a jóvenes y adultos que se encuentran en rezago educativo (analfabetas, sin conclusión de primaria y/o secundaria) y apoya a las personas en desventaja educativa a desarrollar herramientas que les ayuden a elevar la capacidad de pensamiento, aumentar sus condiciones de comunicación y comprensión de la información; y por consiguiente mejorar sus capacidades laborales para impactar en el bienestar familiar.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78983F1A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4408CB">
        <w:rPr>
          <w:b/>
          <w:bCs/>
        </w:rPr>
        <w:t xml:space="preserve"> y Oportunidades</w:t>
      </w:r>
    </w:p>
    <w:p w14:paraId="2024997B" w14:textId="77777777" w:rsidR="004408CB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>Para reforzar este punto, sería útil incluir de manera más explícita en el documento diagnóstico una frase como: “El objetivo es disminuir el porcentaje de personas en rezago educativo mediante...”.</w:t>
      </w:r>
    </w:p>
    <w:p w14:paraId="3720CFA9" w14:textId="77777777" w:rsidR="004408CB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Continuar brindando los servicios educativos de manera gratuita y mediante estrategias de atención, con un enfoque integral e incluyente, ampliando la cobertura educativa a grupos en situación de vulnerabilidad, especialmente a Jornaleros Agrícolas, Adultos Mayores, al grupo especial de niños y Jóvenes de 10 a 14 años, pacientes de los centros de rehabilitación, entre otros, contando con la participación y solidaridad social.</w:t>
      </w:r>
    </w:p>
    <w:p w14:paraId="0983D7BA" w14:textId="00CB6748" w:rsidR="00B72B03" w:rsidRPr="00B72B03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>Continuar actualizando el documento diagnóstico para conocer el beneficio de la operación del programa en la población que presenta el programa.</w:t>
      </w:r>
    </w:p>
    <w:p w14:paraId="5B3242D7" w14:textId="727A79C0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4408CB">
        <w:rPr>
          <w:b/>
          <w:bCs/>
        </w:rPr>
        <w:t xml:space="preserve"> y Amenazas</w:t>
      </w:r>
    </w:p>
    <w:p w14:paraId="0216875B" w14:textId="77777777" w:rsidR="004408CB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Unificar la sintaxis del objetivo central de las reglas de operación (ROP), árbol de objetivos y el de la MIR del Pp. </w:t>
      </w:r>
    </w:p>
    <w:p w14:paraId="35536E20" w14:textId="77777777" w:rsidR="004408CB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Estandarizar la redacción de los documentos normativos del Pp </w:t>
      </w:r>
    </w:p>
    <w:p w14:paraId="5CB480B7" w14:textId="77777777" w:rsidR="004408CB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Establecer estrategias de promoción, difusión e incorporación de los servicios educativos del ISEJA. </w:t>
      </w:r>
    </w:p>
    <w:p w14:paraId="47C2EBBE" w14:textId="13BADB14" w:rsidR="00A165BB" w:rsidRPr="00A165BB" w:rsidRDefault="004408CB" w:rsidP="004408CB">
      <w:pPr>
        <w:pStyle w:val="Prrafodelista"/>
        <w:numPr>
          <w:ilvl w:val="0"/>
          <w:numId w:val="8"/>
        </w:numPr>
        <w:spacing w:line="276" w:lineRule="auto"/>
        <w:jc w:val="both"/>
      </w:pPr>
      <w:r>
        <w:t>Documentar los procedimientos para las prestación y entrega de los bienes y servicios del programa de acuerdo a la metodología</w:t>
      </w:r>
    </w:p>
    <w:p w14:paraId="30BA35DA" w14:textId="027345A4" w:rsidR="004408CB" w:rsidRDefault="004408CB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74214E69" w14:textId="77777777" w:rsidR="00E73445" w:rsidRPr="00E73445" w:rsidRDefault="00E73445" w:rsidP="00E73445">
      <w:pPr>
        <w:ind w:left="284"/>
        <w:jc w:val="both"/>
        <w:rPr>
          <w:lang w:val="es-ES"/>
        </w:rPr>
      </w:pPr>
      <w:r w:rsidRPr="00E73445">
        <w:rPr>
          <w:lang w:val="es-ES"/>
        </w:rPr>
        <w:t>El Programa Presupuestario E061 Educación para Jóvenes y Adultos alcanzó un puntaje de 37 de 44 posibles en su sección de Diseño, lo que refleja un desempeño sólido y bien fundamentado en la mayoría de los criterios evaluados. Destaca el cumplimiento pleno en la identificación del problema, definición de poblaciones, selección de alternativa, criterios de elegibilidad, padrones, presupuesto e instrumentos de seguimiento del desempeño, lo cual evidencia una planeación adecuada, mecanismos claros de atención y una gestión eficiente de los recursos.</w:t>
      </w:r>
    </w:p>
    <w:p w14:paraId="3CCA0E60" w14:textId="77777777" w:rsidR="00E73445" w:rsidRPr="00E73445" w:rsidRDefault="00E73445" w:rsidP="00E73445">
      <w:pPr>
        <w:ind w:left="284"/>
        <w:jc w:val="both"/>
        <w:rPr>
          <w:lang w:val="es-ES"/>
        </w:rPr>
      </w:pPr>
      <w:r w:rsidRPr="00E73445">
        <w:rPr>
          <w:lang w:val="es-ES"/>
        </w:rPr>
        <w:t>No obstante, se identificaron áreas de mejora en el objetivo central, la definición de bienes y servicios y los mecanismos de solicitud y entrega, donde es necesario fortalecer la precisión, la claridad y la sistematización para garantizar mayor efectividad en la operación del programa.</w:t>
      </w:r>
    </w:p>
    <w:p w14:paraId="2E965902" w14:textId="77777777" w:rsidR="00E73445" w:rsidRPr="00E73445" w:rsidRDefault="00E73445" w:rsidP="00E73445">
      <w:pPr>
        <w:ind w:left="284"/>
        <w:jc w:val="both"/>
        <w:rPr>
          <w:lang w:val="es-ES"/>
        </w:rPr>
      </w:pPr>
      <w:r w:rsidRPr="00E73445">
        <w:rPr>
          <w:lang w:val="es-ES"/>
        </w:rPr>
        <w:t>De manera particular, se observa una limitación importante en la documentación de procesos, ya que el programa no presentó la evidencia metodológica requerida conforme a la Guía para la Optimización, Estandarización y Mejora Continua de Procesos de la Secretaría de la Función Pública. Aunque se cuenta con anexos como la ficha técnica, la ficha de identificación y equivalencia de procesos, y diagramas de flujo, estos insumos resultan insuficientes para responder de manera integral a los apartados metodológicos de contexto, diagnóstico, descripción, medición y valoración de los procesos.</w:t>
      </w:r>
    </w:p>
    <w:p w14:paraId="31F36EB1" w14:textId="58E17D4A" w:rsidR="00113BCD" w:rsidRDefault="00E73445" w:rsidP="00E73445">
      <w:pPr>
        <w:ind w:left="284"/>
        <w:jc w:val="both"/>
        <w:rPr>
          <w:lang w:val="es-ES"/>
        </w:rPr>
      </w:pPr>
      <w:r w:rsidRPr="00E73445">
        <w:rPr>
          <w:lang w:val="es-ES"/>
        </w:rPr>
        <w:t>En conclusión, el programa presenta fortalezas significativas en su diseño y operación que respaldan su contribución a la atención del rezago educativo, pero requiere avanzar en la sistematización documental y metodológica de sus procesos para alcanzar un mayor nivel de solidez, transparencia y mejora continua en su gestión.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9B4703B" w14:textId="71898CF4" w:rsidR="006E67EA" w:rsidRDefault="005D6748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</w:t>
      </w:r>
      <w:r w:rsidRPr="005D6748">
        <w:t>ncluir de manera más explícita en el documento diagnóstico una frase como: “El objetivo es disminuir el porcentaje de personas en rezago educativo mediante...”.</w:t>
      </w:r>
    </w:p>
    <w:p w14:paraId="133C517A" w14:textId="794CCCE8" w:rsidR="005D6748" w:rsidRDefault="005D6748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5D6748">
        <w:t>Continuar brindando los servicios educativos de manera gratuita y mediante estrategias de atención</w:t>
      </w:r>
      <w:r>
        <w:t>.</w:t>
      </w:r>
    </w:p>
    <w:p w14:paraId="3717DFC2" w14:textId="6917D435" w:rsidR="005D6748" w:rsidRDefault="005D6748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5D6748">
        <w:t>Continuar actualizando el documento diagnóstico</w:t>
      </w:r>
      <w:r>
        <w:t>.</w:t>
      </w:r>
    </w:p>
    <w:p w14:paraId="50EDC6E3" w14:textId="1E5D0A47" w:rsidR="005D6748" w:rsidRDefault="005D6748" w:rsidP="006E67EA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5D6748">
        <w:t>Unificar la sintaxis del objetivo central de las reglas de operación (ROP), árbol de objetivos y el de la MIR del Pp.</w:t>
      </w:r>
    </w:p>
    <w:p w14:paraId="38C991C1" w14:textId="504715B3" w:rsidR="005D6748" w:rsidRDefault="005D6748" w:rsidP="005D674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Estandarizar la redacción de los documentos normativos del Pp</w:t>
      </w:r>
      <w:r w:rsidR="00F8524D">
        <w:t>.</w:t>
      </w:r>
    </w:p>
    <w:p w14:paraId="27E9744E" w14:textId="77777777" w:rsidR="005D6748" w:rsidRDefault="005D6748" w:rsidP="005D674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Establecer estrategias de promoción, difusión e incorporación de los servicios educativos del ISEJA. </w:t>
      </w:r>
    </w:p>
    <w:p w14:paraId="153C4226" w14:textId="2D27D111" w:rsidR="005D6748" w:rsidRPr="006E67EA" w:rsidRDefault="005D6748" w:rsidP="005D674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Documentar los procedimientos para las prestación y entrega de los bienes y servicios del programa de acuerdo a la metodología</w:t>
      </w:r>
      <w:r w:rsidR="00F8524D">
        <w:t>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lastRenderedPageBreak/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7CA38E07" w:rsidR="007C4CD6" w:rsidRPr="00521401" w:rsidRDefault="00F8524D" w:rsidP="00521401">
            <w:pPr>
              <w:spacing w:after="0" w:line="276" w:lineRule="auto"/>
              <w:ind w:left="179"/>
            </w:pPr>
            <w:r>
              <w:t>Educación para Jóvenes y Adultos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39B87436" w:rsidR="007C4CD6" w:rsidRPr="007C4CD6" w:rsidRDefault="00F8524D" w:rsidP="00521401">
            <w:pPr>
              <w:spacing w:after="0" w:line="276" w:lineRule="auto"/>
              <w:ind w:left="179"/>
            </w:pPr>
            <w:r>
              <w:t>EJA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61969F67" w:rsidR="007C4CD6" w:rsidRPr="007C4CD6" w:rsidRDefault="00F8524D" w:rsidP="00521401">
            <w:pPr>
              <w:spacing w:after="0" w:line="276" w:lineRule="auto"/>
              <w:ind w:left="179"/>
            </w:pPr>
            <w:r w:rsidRPr="00F8524D">
              <w:t>Instituto Sinaloense para la Educación de los Jóvenes y Adultos (ISEJA)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6A6E17A5" w:rsidR="005A28B9" w:rsidRPr="00A16BE7" w:rsidRDefault="00F8524D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2080E482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  <w:r w:rsidR="009805F1">
              <w:rPr>
                <w:b/>
                <w:bCs/>
              </w:rPr>
              <w:t xml:space="preserve"> 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CA2929">
        <w:trPr>
          <w:trHeight w:val="279"/>
        </w:trPr>
        <w:tc>
          <w:tcPr>
            <w:tcW w:w="3256" w:type="dxa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0BCB0E3F" w:rsidR="00090637" w:rsidRPr="00090637" w:rsidRDefault="00B66564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CA2929">
        <w:trPr>
          <w:trHeight w:val="340"/>
        </w:trPr>
        <w:tc>
          <w:tcPr>
            <w:tcW w:w="9910" w:type="dxa"/>
            <w:gridSpan w:val="3"/>
          </w:tcPr>
          <w:p w14:paraId="7091B8EA" w14:textId="33F04163" w:rsidR="005065B9" w:rsidRPr="00521401" w:rsidRDefault="009805F1" w:rsidP="005065B9">
            <w:pPr>
              <w:spacing w:after="0" w:line="276" w:lineRule="auto"/>
              <w:ind w:left="179"/>
            </w:pPr>
            <w:r>
              <w:t>Dr. Rubén Miranda López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CA2929">
        <w:trPr>
          <w:trHeight w:val="340"/>
        </w:trPr>
        <w:tc>
          <w:tcPr>
            <w:tcW w:w="9910" w:type="dxa"/>
            <w:gridSpan w:val="3"/>
          </w:tcPr>
          <w:p w14:paraId="54E4AA94" w14:textId="450DC991" w:rsidR="00A4624B" w:rsidRPr="007301C5" w:rsidRDefault="009805F1" w:rsidP="009805F1">
            <w:pPr>
              <w:spacing w:after="0" w:line="276" w:lineRule="auto"/>
              <w:ind w:left="179"/>
            </w:pPr>
            <w:r w:rsidRPr="009805F1">
              <w:t>rmiranda@inea.gob.mx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CA2929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3A3A3FBE" w:rsidR="004E1FF7" w:rsidRPr="007301C5" w:rsidRDefault="009805F1" w:rsidP="004E1FF7">
            <w:pPr>
              <w:spacing w:after="0" w:line="276" w:lineRule="auto"/>
              <w:ind w:left="179"/>
            </w:pPr>
            <w:r>
              <w:t>Instituto Sinaloense para la Educación de los Jóvenes y Adultos</w:t>
            </w:r>
            <w:r w:rsidR="00CA2929">
              <w:t xml:space="preserve"> (ISEJA)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CA2929">
        <w:trPr>
          <w:trHeight w:val="340"/>
        </w:trPr>
        <w:tc>
          <w:tcPr>
            <w:tcW w:w="9910" w:type="dxa"/>
            <w:gridSpan w:val="3"/>
          </w:tcPr>
          <w:p w14:paraId="6F19C066" w14:textId="4EF3DA50" w:rsidR="004E1FF7" w:rsidRPr="007301C5" w:rsidRDefault="009805F1" w:rsidP="004E1FF7">
            <w:pPr>
              <w:spacing w:after="0" w:line="276" w:lineRule="auto"/>
              <w:ind w:left="179"/>
            </w:pPr>
            <w:r w:rsidRPr="00C10C38">
              <w:t>(667) 715 37 55, 713 90 68, 715 03 32 y 715 36 73 Ext. 521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6D5CA6B1" w:rsidR="00A06CEF" w:rsidRPr="00866990" w:rsidRDefault="00F8524D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lastRenderedPageBreak/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1DBE90DA" w:rsidR="00090637" w:rsidRPr="00866990" w:rsidRDefault="00F8524D" w:rsidP="00F8524D">
            <w:pPr>
              <w:spacing w:after="0" w:line="276" w:lineRule="auto"/>
              <w:ind w:left="179"/>
              <w:jc w:val="both"/>
            </w:pPr>
            <w:r w:rsidRPr="00F8524D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343ABECD" w:rsidR="00090637" w:rsidRPr="00866990" w:rsidRDefault="00F8524D" w:rsidP="00F8524D">
            <w:pPr>
              <w:spacing w:after="0" w:line="276" w:lineRule="auto"/>
              <w:ind w:left="179"/>
              <w:jc w:val="both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279BCE32" w:rsidR="004C435E" w:rsidRPr="00866990" w:rsidRDefault="00F8524D" w:rsidP="004C435E">
            <w:pPr>
              <w:spacing w:after="0" w:line="276" w:lineRule="auto"/>
              <w:ind w:left="179"/>
            </w:pPr>
            <w:r w:rsidRPr="00F8524D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A56F" w14:textId="77777777" w:rsidR="00BD7588" w:rsidRDefault="00BD7588" w:rsidP="008E5209">
      <w:pPr>
        <w:spacing w:after="0" w:line="240" w:lineRule="auto"/>
      </w:pPr>
      <w:r>
        <w:separator/>
      </w:r>
    </w:p>
  </w:endnote>
  <w:endnote w:type="continuationSeparator" w:id="0">
    <w:p w14:paraId="72AE2A07" w14:textId="77777777" w:rsidR="00BD7588" w:rsidRDefault="00BD758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6169" w14:textId="77777777" w:rsidR="00BD7588" w:rsidRDefault="00BD7588" w:rsidP="008E5209">
      <w:pPr>
        <w:spacing w:after="0" w:line="240" w:lineRule="auto"/>
      </w:pPr>
      <w:r>
        <w:separator/>
      </w:r>
    </w:p>
  </w:footnote>
  <w:footnote w:type="continuationSeparator" w:id="0">
    <w:p w14:paraId="6490ECAB" w14:textId="77777777" w:rsidR="00BD7588" w:rsidRDefault="00BD758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67pt;height:595.5pt" o:bullet="t">
        <v:imagedata r:id="rId1" o:title="03"/>
      </v:shape>
    </w:pict>
  </w:numPicBullet>
  <w:numPicBullet w:numPicBulletId="1">
    <w:pict>
      <v:shape id="_x0000_i1035" type="#_x0000_t75" style="width:282.75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655068978">
    <w:abstractNumId w:val="23"/>
  </w:num>
  <w:num w:numId="2" w16cid:durableId="761682814">
    <w:abstractNumId w:val="21"/>
  </w:num>
  <w:num w:numId="3" w16cid:durableId="412513393">
    <w:abstractNumId w:val="7"/>
  </w:num>
  <w:num w:numId="4" w16cid:durableId="849560328">
    <w:abstractNumId w:val="19"/>
  </w:num>
  <w:num w:numId="5" w16cid:durableId="140818597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233543037">
    <w:abstractNumId w:val="27"/>
  </w:num>
  <w:num w:numId="7" w16cid:durableId="1119032932">
    <w:abstractNumId w:val="28"/>
  </w:num>
  <w:num w:numId="8" w16cid:durableId="1404138826">
    <w:abstractNumId w:val="29"/>
  </w:num>
  <w:num w:numId="9" w16cid:durableId="1935627579">
    <w:abstractNumId w:val="20"/>
  </w:num>
  <w:num w:numId="10" w16cid:durableId="1922182173">
    <w:abstractNumId w:val="12"/>
  </w:num>
  <w:num w:numId="11" w16cid:durableId="25955518">
    <w:abstractNumId w:val="14"/>
  </w:num>
  <w:num w:numId="12" w16cid:durableId="1039554641">
    <w:abstractNumId w:val="26"/>
  </w:num>
  <w:num w:numId="13" w16cid:durableId="849488495">
    <w:abstractNumId w:val="25"/>
  </w:num>
  <w:num w:numId="14" w16cid:durableId="1549731082">
    <w:abstractNumId w:val="22"/>
  </w:num>
  <w:num w:numId="15" w16cid:durableId="1578175463">
    <w:abstractNumId w:val="16"/>
  </w:num>
  <w:num w:numId="16" w16cid:durableId="179052597">
    <w:abstractNumId w:val="4"/>
  </w:num>
  <w:num w:numId="17" w16cid:durableId="1787461327">
    <w:abstractNumId w:val="6"/>
  </w:num>
  <w:num w:numId="18" w16cid:durableId="1018586127">
    <w:abstractNumId w:val="17"/>
  </w:num>
  <w:num w:numId="19" w16cid:durableId="250820208">
    <w:abstractNumId w:val="15"/>
  </w:num>
  <w:num w:numId="20" w16cid:durableId="1914005830">
    <w:abstractNumId w:val="5"/>
  </w:num>
  <w:num w:numId="21" w16cid:durableId="253635547">
    <w:abstractNumId w:val="3"/>
  </w:num>
  <w:num w:numId="22" w16cid:durableId="2021155468">
    <w:abstractNumId w:val="13"/>
  </w:num>
  <w:num w:numId="23" w16cid:durableId="924068522">
    <w:abstractNumId w:val="24"/>
  </w:num>
  <w:num w:numId="24" w16cid:durableId="288168209">
    <w:abstractNumId w:val="11"/>
  </w:num>
  <w:num w:numId="25" w16cid:durableId="1314407618">
    <w:abstractNumId w:val="18"/>
  </w:num>
  <w:num w:numId="26" w16cid:durableId="1645113809">
    <w:abstractNumId w:val="8"/>
  </w:num>
  <w:num w:numId="27" w16cid:durableId="982075198">
    <w:abstractNumId w:val="10"/>
  </w:num>
  <w:num w:numId="28" w16cid:durableId="204412090">
    <w:abstractNumId w:val="0"/>
  </w:num>
  <w:num w:numId="29" w16cid:durableId="725690976">
    <w:abstractNumId w:val="9"/>
  </w:num>
  <w:num w:numId="30" w16cid:durableId="148157686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011CA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08CB"/>
    <w:rsid w:val="0044695A"/>
    <w:rsid w:val="004512E5"/>
    <w:rsid w:val="004620A0"/>
    <w:rsid w:val="0047344B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D6748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63D8F"/>
    <w:rsid w:val="00975299"/>
    <w:rsid w:val="009768FB"/>
    <w:rsid w:val="009805F1"/>
    <w:rsid w:val="0098143F"/>
    <w:rsid w:val="00983315"/>
    <w:rsid w:val="009909AC"/>
    <w:rsid w:val="00995721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66564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D7588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A2929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3445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8524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D7B3E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92</TotalTime>
  <Pages>5</Pages>
  <Words>1611</Words>
  <Characters>8865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14</cp:revision>
  <cp:lastPrinted>2022-06-17T19:35:00Z</cp:lastPrinted>
  <dcterms:created xsi:type="dcterms:W3CDTF">2022-12-06T19:20:00Z</dcterms:created>
  <dcterms:modified xsi:type="dcterms:W3CDTF">2025-10-01T15:57:00Z</dcterms:modified>
</cp:coreProperties>
</file>